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ПРИЈАВА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>ЛИЧНИ ПОДАЦИ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ab/>
      </w: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i/>
          <w:lang w:val="sr-Cyrl-CS"/>
        </w:rPr>
      </w:pPr>
    </w:p>
    <w:tbl>
      <w:tblPr>
        <w:tblStyle w:val="3"/>
        <w:tblW w:w="5000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459"/>
        <w:gridCol w:w="666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Cs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Cs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eastAsia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Cs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Cs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фиксни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Cs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 xml:space="preserve">2. МЕРА/ПАКЕТИ МЕРА ЗА КОЈЕ СЕ ПРИЈАВЉУЈЕТЕ </w:t>
      </w:r>
    </w:p>
    <w:p>
      <w:pPr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Крајњи корисници имају могућност да се пријаве за примену максимално две појединачне мер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енергетске санације или за један од пакета мера. </w:t>
      </w:r>
      <w:bookmarkStart w:id="0" w:name="_Hlk145668329"/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</w:p>
    <w:p>
      <w:pPr>
        <w:ind w:firstLine="720"/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Latn-CS"/>
        </w:rPr>
        <w:t>1.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 xml:space="preserve"> ПОЈЕДИНАЧНА МЕРА ЗА КОЈУ СЕ ПРИЈАВЉУЈЕТЕ </w:t>
      </w:r>
    </w:p>
    <w:p>
      <w:pPr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Удео бесповратних средстава за примену појединачне мере/мера износи највише 50% од укупне вредности инвестиције</w:t>
      </w:r>
      <w:r>
        <w:rPr>
          <w:rFonts w:hint="default" w:ascii="Times New Roman" w:hAnsi="Times New Roman" w:eastAsia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sr-Cyrl-CS"/>
        </w:rPr>
        <w:t>(</w:t>
      </w:r>
      <w:r>
        <w:rPr>
          <w:rFonts w:hint="default" w:ascii="Times New Roman" w:hAnsi="Times New Roman" w:eastAsia="Times New Roman"/>
          <w:sz w:val="24"/>
          <w:szCs w:val="24"/>
          <w:lang w:val="sr-Cyrl-RS"/>
        </w:rPr>
        <w:t xml:space="preserve">односно </w:t>
      </w:r>
      <w:r>
        <w:rPr>
          <w:rFonts w:hint="default" w:ascii="Times New Roman" w:hAnsi="Times New Roman" w:eastAsia="Times New Roman"/>
          <w:sz w:val="24"/>
          <w:szCs w:val="24"/>
          <w:lang w:val="sr-Cyrl-CS"/>
        </w:rPr>
        <w:t>до максималног износа за одређену меру дату у табели 1 и 2</w:t>
      </w:r>
      <w:r>
        <w:rPr>
          <w:rFonts w:hint="default" w:ascii="Times New Roman" w:hAnsi="Times New Roman" w:eastAsia="Times New Roman"/>
          <w:sz w:val="24"/>
          <w:szCs w:val="24"/>
          <w:lang w:val="sr-Cyrl-RS"/>
        </w:rPr>
        <w:t xml:space="preserve"> дате у Јавном позиву</w:t>
      </w:r>
      <w:r>
        <w:rPr>
          <w:rFonts w:hint="default" w:ascii="Times New Roman" w:hAnsi="Times New Roman" w:eastAsia="Times New Roman"/>
          <w:sz w:val="24"/>
          <w:szCs w:val="24"/>
          <w:lang w:val="sr-Cyrl-CS"/>
        </w:rPr>
        <w:t>).</w:t>
      </w:r>
    </w:p>
    <w:p>
      <w:pPr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позива. Уз једну од мера под тач. 4) или 5) или 6) за коју се пријави, крајњи корисник има право да се пријави додатно и за меру 7).</w:t>
      </w:r>
    </w:p>
    <w:p>
      <w:pPr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позива.Уз једну од мера под тач. 1)-6) или 8) за коју се пријави, крајњи корисник има право да се пријави додатно и за меру 10) ако је Прилогом 2 предвиђена израда техничке документације.</w:t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>Табела 1.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1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7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773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77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7736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 ЗА ПОРОДИЧНЕ КУЋЕ</w:t>
            </w:r>
          </w:p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77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 И 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77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773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7736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7736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техничке документације у складу са Прилогом 2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 xml:space="preserve">*За  меру из тачке </w:t>
      </w:r>
      <w:r>
        <w:rPr>
          <w:rFonts w:ascii="Times New Roman" w:hAnsi="Times New Roman" w:eastAsia="Times New Roman" w:cs="Times New Roman"/>
          <w:sz w:val="20"/>
          <w:szCs w:val="20"/>
          <w:lang w:val="sr-Latn-CS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 xml:space="preserve">) се може конкурисати </w:t>
      </w:r>
      <w:r>
        <w:rPr>
          <w:rFonts w:ascii="Times New Roman" w:hAnsi="Times New Roman" w:eastAsia="Times New Roman" w:cs="Times New Roman"/>
          <w:bCs/>
          <w:sz w:val="20"/>
          <w:szCs w:val="20"/>
          <w:lang w:val="sr-Cyrl-RS"/>
        </w:rPr>
        <w:t>искључиво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 xml:space="preserve">**За </w:t>
      </w:r>
      <w:r>
        <w:rPr>
          <w:rFonts w:ascii="Times New Roman" w:hAnsi="Times New Roman" w:eastAsia="Times New Roman" w:cs="Times New Roman"/>
          <w:sz w:val="20"/>
          <w:szCs w:val="20"/>
        </w:rPr>
        <w:t>меру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hAnsi="Times New Roman" w:eastAsia="Times New Roman" w:cs="Times New Roman"/>
          <w:sz w:val="20"/>
          <w:szCs w:val="20"/>
          <w:lang w:val="sr-Cyrl-CS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се може конкурисати само заједно са неком од појединачних мера под тач. 1)-6) или тачком 8) и у оквиру пакета мера, </w:t>
      </w:r>
      <w:r>
        <w:rPr>
          <w:rFonts w:ascii="Times New Roman" w:hAnsi="Times New Roman" w:eastAsia="Times New Roman" w:cs="Times New Roman"/>
          <w:sz w:val="20"/>
          <w:szCs w:val="20"/>
          <w:lang w:val="sr-Cyrl-CS"/>
        </w:rPr>
        <w:t>под условом да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је у складу са Прилогом 2. неопходна израда техничке документације ради издавања акта којим се одобрава извођење радова.</w:t>
      </w:r>
      <w:r>
        <w:rPr>
          <w:lang w:val="sr-Cyrl-CS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 xml:space="preserve">Мера ће се суфинансирати са уделом до 50% бесповратних средстава ако се примењује са неком од наведених појединачних мера.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ind w:firstLine="720"/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>2.2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Latn-CS"/>
        </w:rPr>
        <w:t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 xml:space="preserve"> ПАКЕТ МЕРА ЗА КОЈИ СЕ ПРИЈАВЉУЈЕТЕ </w:t>
      </w:r>
    </w:p>
    <w:p>
      <w:pPr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Крајњи корисници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који станују у породичним кућама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имају право да се пријаве за један од пакета мера из Табеле 2. </w:t>
      </w:r>
    </w:p>
    <w:p>
      <w:pPr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Уз једну од мера под тач. 4) или 5) или 6) коју заокружи крајњи корисник има право да заокружи и меру 7).</w:t>
      </w:r>
    </w:p>
    <w:p>
      <w:pPr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Уз једну од мера под тач. 1)-6) или 8) коју заокружи крајњи корисник има право да заокружи и меру 10) ако је то предвиђено у Прилогу 2.</w:t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>Табела 2.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 –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пријава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15"/>
        <w:tblW w:w="10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810"/>
        <w:gridCol w:w="9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  <w:t xml:space="preserve">ОСНОВНИ ПАКЕТ МЕРА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(Максимални удео бесповратних средстава до 55%)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Обухвата примену најмање две мере из тач. 1), 2) и 3)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 примену тачке 10) уколико је предвиђена Прилогом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25"/>
                <w:lang w:val="sr-Cyrl-CS"/>
              </w:rPr>
              <w:t>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  <w:r>
              <w:rPr>
                <w:rStyle w:val="25"/>
                <w:b/>
                <w:bCs/>
                <w:lang w:val="sr-Cyrl-CS"/>
              </w:rPr>
              <w:t>)**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  <w:t xml:space="preserve">СТАНДАРДНИ ПАКЕТ МЕРА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(Максимални удео бесповратних средстава до 60%)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 мера Основног пакета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и/или 7) уз примену тачке 10) уколико је предвиђена Прилогом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25"/>
                <w:lang w:val="sr-Cyrl-CS"/>
              </w:rPr>
              <w:t>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7)*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10)**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  <w:t xml:space="preserve">НАПРЕДНИ ПАКЕТ МЕРА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(Максимални удео бесповратних средстава до 65%)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мера Основног и Стандардног пакета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 примену тачке 10) уколико је предвиђена Прилогом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25"/>
                <w:lang w:val="sr-Cyrl-CS"/>
              </w:rPr>
              <w:t>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10)**</w:t>
            </w:r>
          </w:p>
        </w:tc>
        <w:tc>
          <w:tcPr>
            <w:tcW w:w="92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 xml:space="preserve">*За  меру из тачке </w:t>
      </w:r>
      <w:r>
        <w:rPr>
          <w:rFonts w:ascii="Times New Roman" w:hAnsi="Times New Roman" w:eastAsia="Times New Roman" w:cs="Times New Roman"/>
          <w:sz w:val="20"/>
          <w:szCs w:val="20"/>
          <w:lang w:val="sr-Latn-CS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 xml:space="preserve">) се може конкурисати </w:t>
      </w:r>
      <w:r>
        <w:rPr>
          <w:rFonts w:ascii="Times New Roman" w:hAnsi="Times New Roman" w:eastAsia="Times New Roman" w:cs="Times New Roman"/>
          <w:bCs/>
          <w:sz w:val="20"/>
          <w:szCs w:val="20"/>
          <w:lang w:val="sr-Cyrl-RS"/>
        </w:rPr>
        <w:t>искључиво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  <w:lang w:val="sr-Cyrl-RS"/>
        </w:rPr>
      </w:pP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 xml:space="preserve">**За </w:t>
      </w:r>
      <w:r>
        <w:rPr>
          <w:rFonts w:ascii="Times New Roman" w:hAnsi="Times New Roman" w:eastAsia="Times New Roman" w:cs="Times New Roman"/>
          <w:sz w:val="20"/>
          <w:szCs w:val="20"/>
        </w:rPr>
        <w:t>меру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hAnsi="Times New Roman" w:eastAsia="Times New Roman" w:cs="Times New Roman"/>
          <w:sz w:val="20"/>
          <w:szCs w:val="20"/>
          <w:lang w:val="sr-Cyrl-CS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се може конкурисати само заједно са неком од појединачних мера под тач. 1)-6) или тачком 8) и у оквиру пакета мера, </w:t>
      </w:r>
      <w:r>
        <w:rPr>
          <w:rFonts w:ascii="Times New Roman" w:hAnsi="Times New Roman" w:eastAsia="Times New Roman" w:cs="Times New Roman"/>
          <w:sz w:val="20"/>
          <w:szCs w:val="20"/>
          <w:lang w:val="sr-Cyrl-CS"/>
        </w:rPr>
        <w:t>под условом да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је у складу са Прилогом 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неопходна израда техничке документације ради издавања акта којим се одобрава извођење радова.</w:t>
      </w:r>
      <w:r>
        <w:rPr>
          <w:lang w:val="sr-Cyrl-CS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 xml:space="preserve"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 </w:t>
      </w:r>
      <w:bookmarkStart w:id="1" w:name="_Hlk72263790"/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  <w:lang w:val="sr-Cyrl-RS"/>
        </w:rPr>
      </w:pPr>
      <w:bookmarkStart w:id="2" w:name="_GoBack"/>
      <w:bookmarkEnd w:id="2"/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 ТРЕНУТНО СТАЊЕ ВАШЕ КУЋЕ/СТАНА</w:t>
      </w:r>
    </w:p>
    <w:tbl>
      <w:tblPr>
        <w:tblStyle w:val="15"/>
        <w:tblW w:w="27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9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квадратним метрима </w:t>
            </w:r>
          </w:p>
        </w:tc>
        <w:tc>
          <w:tcPr>
            <w:tcW w:w="202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корисника који станује у објекту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/>
        </w:rPr>
      </w:pPr>
    </w:p>
    <w:tbl>
      <w:tblPr>
        <w:tblStyle w:val="20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93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val="sr-Cyrl-RS" w:eastAsia="sr-Cyrl-C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sr-Cyrl-CS"/>
              </w:rPr>
              <w:t xml:space="preserve"> (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val="sr-Cyrl-CS" w:eastAsia="sr-Cyrl-CS"/>
              </w:rPr>
              <w:t>заокружити редни број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sr-Cyrl-CS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9356" w:type="dxa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Спољни зидови са а кров без термичке изолације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tbl>
      <w:tblPr>
        <w:tblStyle w:val="20"/>
        <w:tblW w:w="9356" w:type="dxa"/>
        <w:tblInd w:w="-3" w:type="dxa"/>
        <w:tblLayout w:type="autofit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9356"/>
      </w:tblGrid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val="sr-Cyrl-CS" w:eastAsia="sr-Cyrl-CS"/>
              </w:rPr>
              <w:t xml:space="preserve">Постојећи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sr-Cyrl-CS"/>
              </w:rPr>
              <w:t>начин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val="sr-Cyrl-RS" w:eastAsia="sr-Cyrl-C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sr-Cyrl-CS"/>
              </w:rPr>
              <w:t>грејања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val="sr-Cyrl-CS" w:eastAsia="sr-Cyrl-CS"/>
              </w:rPr>
              <w:t>, за примену мера која се односи на замену постојеће пећи или котла под тач. 4), 5) или 6), (заокружити редни број)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sr-Cyrl-CS"/>
              </w:rPr>
              <w:t>: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Дрво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Природни гас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Пелет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Даљинско грејање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Друго (уписати)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tbl>
      <w:tblPr>
        <w:tblStyle w:val="20"/>
        <w:tblW w:w="9447" w:type="dxa"/>
        <w:tblInd w:w="-94" w:type="dxa"/>
        <w:tblLayout w:type="autofit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91"/>
        <w:gridCol w:w="9356"/>
      </w:tblGrid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2" w:hRule="atLeast"/>
        </w:trPr>
        <w:tc>
          <w:tcPr>
            <w:tcW w:w="94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val="sr-Cyrl-CS" w:eastAsia="sr-Cyrl-CS"/>
              </w:rPr>
              <w:t>Потрошна вода за домаћинство се греје на, само за меру из тачке 8) која се односи на уградњу соларних колектора, (заокружити редни број) :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4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Дрво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Природни гас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Пелет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Даљинско грејање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Друго (уписати)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остојећи прозори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, за примену мере из тачке 1) која се односи на замену столарије (заокружити редни број)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323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Прозор са дрвеним профилом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23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bookmarkEnd w:id="1"/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Датум:________202</w:t>
      </w:r>
      <w:r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</w:rPr>
        <w:t>.год.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Потпис подносиоца захтева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>
      <w:headerReference r:id="rId5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15569"/>
    <w:multiLevelType w:val="multilevel"/>
    <w:tmpl w:val="0D21556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15125"/>
    <w:multiLevelType w:val="multilevel"/>
    <w:tmpl w:val="30F151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161"/>
    <w:multiLevelType w:val="multilevel"/>
    <w:tmpl w:val="460A216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A5AB3"/>
    <w:multiLevelType w:val="multilevel"/>
    <w:tmpl w:val="759A5AB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  <w:rsid w:val="64AF7568"/>
    <w:rsid w:val="67DD29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17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8">
    <w:name w:val="annotation subject"/>
    <w:basedOn w:val="7"/>
    <w:next w:val="7"/>
    <w:link w:val="19"/>
    <w:semiHidden/>
    <w:unhideWhenUsed/>
    <w:qFormat/>
    <w:uiPriority w:val="99"/>
    <w:pPr>
      <w:spacing w:after="160"/>
    </w:pPr>
    <w:rPr>
      <w:rFonts w:asciiTheme="minorHAnsi" w:hAnsiTheme="minorHAnsi" w:eastAsiaTheme="minorHAnsi" w:cstheme="minorBidi"/>
      <w:b/>
      <w:bCs/>
      <w:lang w:val="en-GB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2"/>
    <w:semiHidden/>
    <w:unhideWhenUsed/>
    <w:qFormat/>
    <w:uiPriority w:val="0"/>
    <w:rPr>
      <w:vertAlign w:val="superscript"/>
    </w:rPr>
  </w:style>
  <w:style w:type="paragraph" w:styleId="11">
    <w:name w:val="footnote text"/>
    <w:basedOn w:val="1"/>
    <w:link w:val="21"/>
    <w:unhideWhenUsed/>
    <w:qFormat/>
    <w:uiPriority w:val="0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2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2"/>
    <w:unhideWhenUsed/>
    <w:qFormat/>
    <w:uiPriority w:val="99"/>
    <w:rPr>
      <w:color w:val="0000FF"/>
      <w:u w:val="single"/>
    </w:rPr>
  </w:style>
  <w:style w:type="character" w:styleId="14">
    <w:name w:val="Strong"/>
    <w:basedOn w:val="2"/>
    <w:qFormat/>
    <w:uiPriority w:val="22"/>
    <w:rPr>
      <w:b/>
      <w:bCs/>
    </w:rPr>
  </w:style>
  <w:style w:type="table" w:styleId="1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Comment Text Char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Comment Subject Char"/>
    <w:basedOn w:val="17"/>
    <w:link w:val="8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table" w:customStyle="1" w:styleId="20">
    <w:name w:val="TableGrid"/>
    <w:qFormat/>
    <w:uiPriority w:val="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Footnote Text Char"/>
    <w:basedOn w:val="2"/>
    <w:link w:val="11"/>
    <w:qFormat/>
    <w:uiPriority w:val="0"/>
    <w:rPr>
      <w:sz w:val="20"/>
      <w:szCs w:val="20"/>
      <w:lang w:val="en-GB"/>
    </w:rPr>
  </w:style>
  <w:style w:type="character" w:customStyle="1" w:styleId="22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en-GB"/>
    </w:rPr>
  </w:style>
  <w:style w:type="character" w:customStyle="1" w:styleId="23">
    <w:name w:val="Header Char"/>
    <w:basedOn w:val="2"/>
    <w:link w:val="12"/>
    <w:qFormat/>
    <w:uiPriority w:val="99"/>
    <w:rPr>
      <w:lang w:val="en-GB"/>
    </w:rPr>
  </w:style>
  <w:style w:type="character" w:customStyle="1" w:styleId="24">
    <w:name w:val="Footer Char"/>
    <w:basedOn w:val="2"/>
    <w:link w:val="9"/>
    <w:qFormat/>
    <w:uiPriority w:val="99"/>
    <w:rPr>
      <w:lang w:val="en-GB"/>
    </w:rPr>
  </w:style>
  <w:style w:type="character" w:customStyle="1" w:styleId="25">
    <w:name w:val="markedcontent"/>
    <w:basedOn w:val="2"/>
    <w:qFormat/>
    <w:uiPriority w:val="0"/>
  </w:style>
  <w:style w:type="paragraph" w:customStyle="1" w:styleId="26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1507</Words>
  <Characters>8593</Characters>
  <Lines>71</Lines>
  <Paragraphs>20</Paragraphs>
  <TotalTime>9</TotalTime>
  <ScaleCrop>false</ScaleCrop>
  <LinksUpToDate>false</LinksUpToDate>
  <CharactersWithSpaces>10080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2023-09-15T12:09:00Z</dcterms:created>
  <dc:creator>HP EliteBook 840 G3</dc:creator>
  <cp:lastModifiedBy>BARBARA</cp:lastModifiedBy>
  <cp:lastPrinted>2021-08-06T05:54:00Z</cp:lastPrinted>
  <dcterms:modified xsi:type="dcterms:W3CDTF">2023-10-02T11:02:04Z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26646DC357B5415EB971F28A8F1CCEDD_13</vt:lpwstr>
  </property>
</Properties>
</file>