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932F1" w14:textId="4AE7CD11" w:rsidR="00DC3D60" w:rsidRPr="008C79C3" w:rsidRDefault="0098492E" w:rsidP="00543115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Б</w:t>
      </w:r>
      <w:r w:rsidR="004315B3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ОДОВНА ЛИСТА ЗА ОЦЕНУ ПРОЈЕКТА</w:t>
      </w:r>
      <w:r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</w:t>
      </w:r>
      <w:r w:rsidR="00083E3D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ЗА СТРУЧНЕ ЕДУКАЦИЈЕ, УНАПРЕЂЕЊЕ ПРОФЕСИОНАЛНИХ И ЕТИЧКИХ </w:t>
      </w:r>
      <w:r w:rsidR="002C3C77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 xml:space="preserve">       </w:t>
      </w:r>
      <w:r w:rsidR="00083E3D" w:rsidRPr="008C79C3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СТАНДАРДА И ИСТРАЖИВАЊА У ОБЛАСТИ ЈАВНОГ ИНФОРМИСАЊА</w:t>
      </w:r>
    </w:p>
    <w:p w14:paraId="2F440A76" w14:textId="28A0A1AF" w:rsidR="0088185C" w:rsidRPr="008C79C3" w:rsidRDefault="0088185C" w:rsidP="0088185C">
      <w:pPr>
        <w:spacing w:after="0"/>
        <w:ind w:firstLine="720"/>
        <w:rPr>
          <w:rFonts w:ascii="Times New Roman" w:hAnsi="Times New Roman" w:cs="Times New Roman"/>
          <w:sz w:val="20"/>
          <w:szCs w:val="20"/>
          <w:lang w:val="sr-Cyrl-RS"/>
        </w:rPr>
      </w:pPr>
      <w:r w:rsidRPr="008C79C3">
        <w:rPr>
          <w:rFonts w:ascii="Times New Roman" w:hAnsi="Times New Roman" w:cs="Times New Roman"/>
          <w:sz w:val="20"/>
          <w:szCs w:val="20"/>
          <w:lang w:val="sr-Cyrl-RS"/>
        </w:rPr>
        <w:t>Назив органа јавне власти:</w:t>
      </w:r>
    </w:p>
    <w:p w14:paraId="022A1BA3" w14:textId="401853B0" w:rsidR="0088185C" w:rsidRPr="000622BD" w:rsidRDefault="0088185C" w:rsidP="0088185C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0622BD">
        <w:rPr>
          <w:rFonts w:ascii="Times New Roman" w:hAnsi="Times New Roman" w:cs="Times New Roman"/>
          <w:lang w:val="sr-Cyrl-RS"/>
        </w:rPr>
        <w:t>Назив конкурса:</w:t>
      </w:r>
    </w:p>
    <w:p w14:paraId="5EE5BDA8" w14:textId="4FB4DDB3" w:rsidR="0088185C" w:rsidRPr="000622BD" w:rsidRDefault="00062741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0622BD">
        <w:rPr>
          <w:rFonts w:ascii="Times New Roman" w:hAnsi="Times New Roman" w:cs="Times New Roman"/>
          <w:lang w:val="sr-Cyrl-RS"/>
        </w:rPr>
        <w:t>Подносилац пријаве</w:t>
      </w:r>
      <w:r w:rsidR="001B13EE" w:rsidRPr="000622BD">
        <w:rPr>
          <w:rFonts w:ascii="Times New Roman" w:hAnsi="Times New Roman" w:cs="Times New Roman"/>
          <w:lang w:val="sr-Cyrl-RS"/>
        </w:rPr>
        <w:t>:</w:t>
      </w:r>
    </w:p>
    <w:p w14:paraId="7E22CAAC" w14:textId="015E9F0D" w:rsidR="00DC3D60" w:rsidRDefault="00166D0C" w:rsidP="00062741">
      <w:pPr>
        <w:spacing w:after="0"/>
        <w:ind w:firstLine="720"/>
        <w:rPr>
          <w:rFonts w:ascii="Times New Roman" w:hAnsi="Times New Roman" w:cs="Times New Roman"/>
          <w:lang w:val="sr-Cyrl-RS"/>
        </w:rPr>
      </w:pPr>
      <w:r w:rsidRPr="000622BD">
        <w:rPr>
          <w:rFonts w:ascii="Times New Roman" w:hAnsi="Times New Roman" w:cs="Times New Roman"/>
          <w:lang w:val="sr-Cyrl-RS"/>
        </w:rPr>
        <w:t xml:space="preserve">Заводни </w:t>
      </w:r>
      <w:r w:rsidR="00062741" w:rsidRPr="000622BD">
        <w:rPr>
          <w:rFonts w:ascii="Times New Roman" w:hAnsi="Times New Roman" w:cs="Times New Roman"/>
          <w:lang w:val="sr-Cyrl-RS"/>
        </w:rPr>
        <w:t>број:</w:t>
      </w:r>
    </w:p>
    <w:p w14:paraId="75564BA8" w14:textId="282AE4C0" w:rsidR="00C43C6A" w:rsidRDefault="009E16B3" w:rsidP="009E16B3">
      <w:pPr>
        <w:spacing w:after="0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Име и презиме члана комисије:</w:t>
      </w:r>
    </w:p>
    <w:p w14:paraId="109660A3" w14:textId="77777777" w:rsidR="009E16B3" w:rsidRPr="000622BD" w:rsidRDefault="009E16B3" w:rsidP="009E16B3">
      <w:pPr>
        <w:spacing w:after="0"/>
        <w:ind w:firstLine="720"/>
        <w:rPr>
          <w:rFonts w:ascii="Times New Roman" w:hAnsi="Times New Roman" w:cs="Times New Roman"/>
          <w:lang w:val="sr-Cyrl-RS"/>
        </w:rPr>
      </w:pPr>
    </w:p>
    <w:tbl>
      <w:tblPr>
        <w:tblStyle w:val="TableGrid"/>
        <w:tblW w:w="14404" w:type="dxa"/>
        <w:tblLayout w:type="fixed"/>
        <w:tblLook w:val="04A0" w:firstRow="1" w:lastRow="0" w:firstColumn="1" w:lastColumn="0" w:noHBand="0" w:noVBand="1"/>
      </w:tblPr>
      <w:tblGrid>
        <w:gridCol w:w="9895"/>
        <w:gridCol w:w="4509"/>
      </w:tblGrid>
      <w:tr w:rsidR="000F0375" w:rsidRPr="000622BD" w14:paraId="3B733A08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4EC720BC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4CBB7F8D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3D684819" w14:textId="6CE6540E" w:rsidR="000F0375" w:rsidRPr="004244DE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5DBBD614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Број бодова:</w:t>
            </w:r>
          </w:p>
          <w:p w14:paraId="0A10A891" w14:textId="1CE6ED16" w:rsidR="000F0375" w:rsidRPr="000622BD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релевантан </w:t>
            </w:r>
          </w:p>
          <w:p w14:paraId="3C1F7A59" w14:textId="5AB7AC1F" w:rsidR="000F0375" w:rsidRPr="000622BD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EA05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релевантан</w:t>
            </w:r>
          </w:p>
          <w:p w14:paraId="1EA5809A" w14:textId="131BD7E2" w:rsidR="000F0375" w:rsidRPr="000622BD" w:rsidRDefault="00EA052F" w:rsidP="00BF6069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углавном је релевантан</w:t>
            </w:r>
          </w:p>
          <w:p w14:paraId="529F119B" w14:textId="203F2CB0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EA05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 потпуности је релевантан</w:t>
            </w:r>
          </w:p>
        </w:tc>
      </w:tr>
      <w:tr w:rsidR="006F4C13" w:rsidRPr="000622BD" w14:paraId="463B8687" w14:textId="77777777" w:rsidTr="008F75CE">
        <w:trPr>
          <w:trHeight w:val="1151"/>
        </w:trPr>
        <w:tc>
          <w:tcPr>
            <w:tcW w:w="9895" w:type="dxa"/>
          </w:tcPr>
          <w:p w14:paraId="75CF4F0C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остваривања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јавног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интереса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области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јавног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информисања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D187DFD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остваривање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намене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конкурса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A62BDA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реалним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проблемима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потребама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приоритетима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циљних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група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;  </w:t>
            </w:r>
          </w:p>
          <w:p w14:paraId="44ED14F9" w14:textId="77777777"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планираних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циљевима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очекиваним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резултатима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C85913" w14:textId="682D0C95" w:rsidR="006F4C13" w:rsidRPr="004244DE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изводљивости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плана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реализације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0622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509" w:type="dxa"/>
          </w:tcPr>
          <w:p w14:paraId="7BF3E3A5" w14:textId="77777777" w:rsidR="000A7254" w:rsidRPr="000622BD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9AE13D5" w14:textId="0FDBBD25" w:rsidR="006F4C13" w:rsidRPr="004244DE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Оцена: </w:t>
            </w:r>
          </w:p>
        </w:tc>
      </w:tr>
      <w:tr w:rsidR="000F0375" w:rsidRPr="000622BD" w14:paraId="565505A1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652A831A" w14:textId="77777777"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4A4D310" w14:textId="3B8DBF7C" w:rsidR="000F0375" w:rsidRPr="004244DE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3BE8BB4D" w14:textId="2AF969C6" w:rsidR="000F0375" w:rsidRPr="000622BD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97033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није изводљив </w:t>
            </w:r>
          </w:p>
          <w:p w14:paraId="6A663FA1" w14:textId="3D5B950A"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C20317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делимично је изводљив</w:t>
            </w:r>
          </w:p>
          <w:p w14:paraId="6FA3E857" w14:textId="124B7607"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C20317"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углавном је изводљив</w:t>
            </w:r>
          </w:p>
          <w:p w14:paraId="6B19C2DA" w14:textId="7EED0D72"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30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изводљив</w:t>
            </w:r>
          </w:p>
        </w:tc>
      </w:tr>
      <w:tr w:rsidR="001B010E" w:rsidRPr="000622BD" w14:paraId="568B7CB8" w14:textId="77777777" w:rsidTr="004932AA">
        <w:tc>
          <w:tcPr>
            <w:tcW w:w="9895" w:type="dxa"/>
          </w:tcPr>
          <w:p w14:paraId="37C44D69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прецизирања начина рада и сегмената планираног догађаја;</w:t>
            </w:r>
          </w:p>
          <w:p w14:paraId="00DA973B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дефинисање тематских целина;</w:t>
            </w:r>
          </w:p>
          <w:p w14:paraId="5CE85CFE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доприноса развоју професионалних и етичких стандарда;</w:t>
            </w:r>
          </w:p>
          <w:p w14:paraId="245E2319" w14:textId="0D4A7D4F" w:rsidR="009E16B3" w:rsidRPr="009E16B3" w:rsidRDefault="006B3702" w:rsidP="009E16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стицања практичних знања и вештина кроз рад са учесницима обука, радионица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сл.</w:t>
            </w:r>
          </w:p>
          <w:p w14:paraId="2EA5684B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иновативних елемената;</w:t>
            </w:r>
          </w:p>
          <w:p w14:paraId="1A9EC53D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важности догађаја (од локалног, регионалног, националног, међународног значаја);</w:t>
            </w:r>
          </w:p>
          <w:p w14:paraId="58016D48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планираног истраживања стања, кретања и потреба на медијском тржишту;</w:t>
            </w:r>
          </w:p>
          <w:p w14:paraId="49CA3EDE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планираног објављивања стручних публикација;</w:t>
            </w:r>
          </w:p>
          <w:p w14:paraId="6EDAB113" w14:textId="77777777"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предвиђеног менторског рада са учесницима догађај након спроведене едукације.</w:t>
            </w:r>
          </w:p>
          <w:p w14:paraId="16C5C2A3" w14:textId="01383F8F" w:rsidR="001B010E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избора стручних предавача, панелиста, говорника, едукатора и сл.</w:t>
            </w:r>
          </w:p>
        </w:tc>
        <w:tc>
          <w:tcPr>
            <w:tcW w:w="4509" w:type="dxa"/>
          </w:tcPr>
          <w:p w14:paraId="70B00A1B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E023A83" w14:textId="2C808F84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0622BD" w14:paraId="5CCE6C4A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0E7DE840" w14:textId="77777777" w:rsidR="001B010E" w:rsidRPr="000622BD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</w:p>
          <w:p w14:paraId="3AE1B67E" w14:textId="6AA6725A" w:rsidR="001B010E" w:rsidRPr="004244DE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  <w14:ligatures w14:val="none"/>
              </w:rPr>
            </w:pPr>
            <w:r w:rsidRPr="004244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sr-Cyrl-RS"/>
                <w14:ligatures w14:val="none"/>
              </w:rPr>
              <w:t>Праћење реализације пројекта са становишта:</w:t>
            </w:r>
          </w:p>
          <w:p w14:paraId="403C8379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7EBCE2DB" w14:textId="77777777" w:rsidR="001B010E" w:rsidRPr="00C20317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C203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C203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није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могуће</w:t>
            </w:r>
          </w:p>
          <w:p w14:paraId="2F57F7AD" w14:textId="0955C93B" w:rsidR="001B010E" w:rsidRPr="00C20317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C203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E04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Pr="00C203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могуће</w:t>
            </w:r>
          </w:p>
          <w:p w14:paraId="5CC57519" w14:textId="3A063091" w:rsidR="001B010E" w:rsidRPr="00C20317" w:rsidRDefault="00E04995" w:rsidP="00C20317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10</w:t>
            </w:r>
            <w:r w:rsidR="001B010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B010E" w:rsidRPr="00C203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1B010E" w:rsidRPr="00C20317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углавном је </w:t>
            </w:r>
            <w:r w:rsidR="001B010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могуће</w:t>
            </w:r>
          </w:p>
          <w:p w14:paraId="67951188" w14:textId="090C64B9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E0499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могуће</w:t>
            </w:r>
          </w:p>
        </w:tc>
      </w:tr>
      <w:tr w:rsidR="001B010E" w:rsidRPr="000622BD" w14:paraId="661910ED" w14:textId="77777777" w:rsidTr="00331DF6">
        <w:tc>
          <w:tcPr>
            <w:tcW w:w="9895" w:type="dxa"/>
          </w:tcPr>
          <w:p w14:paraId="38329C1D" w14:textId="77777777" w:rsidR="001B010E" w:rsidRPr="005E2902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дефинисања очекиваних резултата;</w:t>
            </w:r>
          </w:p>
          <w:p w14:paraId="089BD9CF" w14:textId="77777777"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мерљивости индикатора;</w:t>
            </w:r>
          </w:p>
          <w:p w14:paraId="5DFF826F" w14:textId="77777777"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одрживости пројекта;</w:t>
            </w:r>
          </w:p>
          <w:p w14:paraId="2E3BCAEB" w14:textId="77777777"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планирања интерног мониторинга и евалуације;</w:t>
            </w:r>
          </w:p>
          <w:p w14:paraId="761D4392" w14:textId="02EF01D0" w:rsidR="001B010E" w:rsidRPr="004244DE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препознавања потешкоћа које се могу јавити у току реализације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и предлагање мера за њихово отклањање</w:t>
            </w:r>
            <w:r w:rsidR="00C56FB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509" w:type="dxa"/>
          </w:tcPr>
          <w:p w14:paraId="73E80296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79AC67DA" w14:textId="18D15407" w:rsidR="0088185C" w:rsidRPr="000622BD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1B010E" w:rsidRPr="000622BD" w14:paraId="454DD871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66A0528F" w14:textId="77777777" w:rsidR="001B010E" w:rsidRPr="000622BD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9AAC61" w14:textId="5D110F82" w:rsidR="001B010E" w:rsidRPr="004244DE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Капацитети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предлагача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пројекта</w:t>
            </w:r>
            <w:proofErr w:type="spellEnd"/>
          </w:p>
          <w:p w14:paraId="6AAB4251" w14:textId="77777777"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14:paraId="3199CB33" w14:textId="77777777" w:rsidR="00850619" w:rsidRPr="000622BD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8065093" w14:textId="20C40567" w:rsidR="001B010E" w:rsidRPr="000622BD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Бодује се на основу </w:t>
            </w:r>
            <w:r w:rsidR="00A77B6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података из пријаве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B010E" w:rsidRPr="000622BD" w14:paraId="1F53EA7C" w14:textId="77777777" w:rsidTr="001B010E">
        <w:trPr>
          <w:trHeight w:val="256"/>
        </w:trPr>
        <w:tc>
          <w:tcPr>
            <w:tcW w:w="9895" w:type="dxa"/>
          </w:tcPr>
          <w:p w14:paraId="4481CF1D" w14:textId="2BD81BAE" w:rsidR="001B010E" w:rsidRPr="000622BD" w:rsidRDefault="00C91ED4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дужина обављања </w:t>
            </w:r>
            <w:r w:rsidR="00193BA5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елатности (број година)</w:t>
            </w:r>
            <w:r w:rsidR="001B010E" w:rsidRPr="001B01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509" w:type="dxa"/>
          </w:tcPr>
          <w:p w14:paraId="74C8B7AF" w14:textId="27A479F3" w:rsidR="001B010E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(краће од 1 године)</w:t>
            </w:r>
          </w:p>
          <w:p w14:paraId="03D68E9B" w14:textId="7506A783"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године)</w:t>
            </w:r>
          </w:p>
          <w:p w14:paraId="35BD1252" w14:textId="605BE85E"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4 до 6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27C758CD" w14:textId="43AA280C"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7 до 10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годин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  <w:p w14:paraId="0E9904A5" w14:textId="33F1359A" w:rsidR="00850619" w:rsidRPr="00355E2F" w:rsidRDefault="00DE188E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766795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850619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(дуже од 10 година)</w:t>
            </w:r>
          </w:p>
        </w:tc>
      </w:tr>
      <w:tr w:rsidR="001B010E" w:rsidRPr="000622BD" w14:paraId="36D017D8" w14:textId="77777777" w:rsidTr="00686935">
        <w:trPr>
          <w:trHeight w:val="253"/>
        </w:trPr>
        <w:tc>
          <w:tcPr>
            <w:tcW w:w="9895" w:type="dxa"/>
          </w:tcPr>
          <w:p w14:paraId="7EDD444A" w14:textId="6ABEFFD0" w:rsidR="001B010E" w:rsidRPr="000622BD" w:rsidRDefault="00351CAB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Просечан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за период  јануар - новембар претходне године, које доставља као пратећу документацију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)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. </w:t>
            </w:r>
            <w:r w:rsidR="006621A3" w:rsidRPr="006621A3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14:paraId="6AEAF758" w14:textId="04668414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(без запослених)</w:t>
            </w:r>
          </w:p>
          <w:p w14:paraId="531FD4C4" w14:textId="68AC1AC6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1 до 3 запослена)</w:t>
            </w:r>
          </w:p>
          <w:p w14:paraId="07324F54" w14:textId="5A2E40FA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4 до 6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301A011D" w14:textId="30EFA716"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(од 7 до 10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запослених)</w:t>
            </w:r>
          </w:p>
          <w:p w14:paraId="0991BB6E" w14:textId="2FF21A10" w:rsidR="00850619" w:rsidRPr="00355E2F" w:rsidRDefault="00DE188E" w:rsidP="00220F53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20F53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20F53" w:rsidRPr="00355E2F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(више од 10 запослених)</w:t>
            </w:r>
          </w:p>
        </w:tc>
      </w:tr>
      <w:tr w:rsidR="001B010E" w:rsidRPr="000622BD" w14:paraId="3419C1F2" w14:textId="77777777" w:rsidTr="00686935">
        <w:trPr>
          <w:trHeight w:val="253"/>
        </w:trPr>
        <w:tc>
          <w:tcPr>
            <w:tcW w:w="9895" w:type="dxa"/>
          </w:tcPr>
          <w:p w14:paraId="6EB3DC7B" w14:textId="6E82B93C" w:rsidR="001B010E" w:rsidRPr="000622BD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поседовањ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опреме и других техничких средства за реализацију пројекта;</w:t>
            </w:r>
          </w:p>
          <w:p w14:paraId="682F8BBD" w14:textId="45E34473" w:rsidR="00D40BA7" w:rsidRPr="000622BD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9" w:type="dxa"/>
          </w:tcPr>
          <w:p w14:paraId="03B2B590" w14:textId="2C13FB0C" w:rsidR="001B010E" w:rsidRPr="000622BD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 поседује </w:t>
            </w:r>
            <w:r w:rsidR="00D40BA7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(потребно је изнајмљивање)</w:t>
            </w:r>
          </w:p>
          <w:p w14:paraId="0310BC70" w14:textId="59248465" w:rsidR="00770C83" w:rsidRPr="000622BD" w:rsidRDefault="00766795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="00D40BA7"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D40BA7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поседује (није потребно изнајмљивање</w:t>
            </w:r>
            <w:r w:rsidR="00D604ED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)</w:t>
            </w:r>
          </w:p>
        </w:tc>
      </w:tr>
      <w:tr w:rsidR="001B010E" w:rsidRPr="000622BD" w14:paraId="63616BE3" w14:textId="77777777" w:rsidTr="00686935">
        <w:trPr>
          <w:trHeight w:val="253"/>
        </w:trPr>
        <w:tc>
          <w:tcPr>
            <w:tcW w:w="9895" w:type="dxa"/>
          </w:tcPr>
          <w:p w14:paraId="18AB8CF0" w14:textId="44A30768" w:rsidR="001B010E" w:rsidRPr="000622BD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</w:t>
            </w:r>
            <w:proofErr w:type="spellStart"/>
            <w:r w:rsidRPr="001B010E">
              <w:rPr>
                <w:rFonts w:ascii="Times New Roman" w:hAnsi="Times New Roman" w:cs="Times New Roman"/>
                <w:sz w:val="20"/>
                <w:szCs w:val="20"/>
              </w:rPr>
              <w:t>онтинуитет</w:t>
            </w:r>
            <w:proofErr w:type="spellEnd"/>
            <w:r w:rsidRPr="001B010E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r w:rsidR="00DE188E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раду са циљном групом 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којој</w:t>
            </w:r>
            <w:proofErr w:type="spellEnd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је</w:t>
            </w:r>
            <w:proofErr w:type="spellEnd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пројекат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53750">
              <w:rPr>
                <w:rFonts w:ascii="Times New Roman" w:hAnsi="Times New Roman" w:cs="Times New Roman"/>
                <w:sz w:val="20"/>
                <w:szCs w:val="20"/>
              </w:rPr>
              <w:t>намењен</w:t>
            </w:r>
            <w:proofErr w:type="spellEnd"/>
            <w:r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;</w:t>
            </w:r>
          </w:p>
          <w:p w14:paraId="5B322FAA" w14:textId="416BE886" w:rsidR="002315EC" w:rsidRPr="000622BD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(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ли је подносилац у </w:t>
            </w:r>
            <w:proofErr w:type="spellStart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претходних</w:t>
            </w:r>
            <w:proofErr w:type="spellEnd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годину</w:t>
            </w:r>
            <w:proofErr w:type="spellEnd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дана</w:t>
            </w:r>
            <w:proofErr w:type="spellEnd"/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AE1823" w:rsidRPr="005D2E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информисао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ц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иљн</w:t>
            </w:r>
            <w:proofErr w:type="spellEnd"/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у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групу</w:t>
            </w:r>
            <w:proofErr w:type="spellEnd"/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којој је пројекат намењен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9" w:type="dxa"/>
          </w:tcPr>
          <w:p w14:paraId="0C2B3FAA" w14:textId="69993E3E" w:rsidR="001B010E" w:rsidRPr="00B53750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4244DE"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8E2DA0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2F5B79EE" w14:textId="3F35AF48" w:rsidR="002315EC" w:rsidRPr="00B53750" w:rsidRDefault="00522CF8" w:rsidP="00DC3D60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4</w:t>
            </w:r>
            <w:r w:rsidR="002315EC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4244DE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- </w:t>
            </w:r>
            <w:r w:rsidR="002315EC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Да </w:t>
            </w:r>
          </w:p>
        </w:tc>
      </w:tr>
      <w:tr w:rsidR="00766795" w:rsidRPr="000622BD" w14:paraId="4A7C2163" w14:textId="77777777" w:rsidTr="00686935">
        <w:trPr>
          <w:trHeight w:val="253"/>
        </w:trPr>
        <w:tc>
          <w:tcPr>
            <w:tcW w:w="9895" w:type="dxa"/>
          </w:tcPr>
          <w:p w14:paraId="18DCE517" w14:textId="4177E057" w:rsidR="00766795" w:rsidRPr="001B010E" w:rsidRDefault="00766795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објављен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</w:t>
            </w:r>
            <w:r w:rsidRPr="001B010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публикација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(приручници, смернице, истраживања…)</w:t>
            </w:r>
          </w:p>
        </w:tc>
        <w:tc>
          <w:tcPr>
            <w:tcW w:w="4509" w:type="dxa"/>
          </w:tcPr>
          <w:p w14:paraId="671754CF" w14:textId="28071C30" w:rsidR="00766795" w:rsidRPr="00B53750" w:rsidRDefault="00766795" w:rsidP="007667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0 - 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</w:t>
            </w:r>
          </w:p>
          <w:p w14:paraId="6D4D5328" w14:textId="2CF78C28" w:rsidR="00766795" w:rsidRPr="00B53750" w:rsidRDefault="00522CF8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="00766795"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- </w:t>
            </w:r>
            <w:r w:rsidR="00766795" w:rsidRPr="00B5375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</w:t>
            </w:r>
          </w:p>
        </w:tc>
      </w:tr>
      <w:tr w:rsidR="001B010E" w:rsidRPr="000622BD" w14:paraId="2E8C2628" w14:textId="77777777" w:rsidTr="004244DE">
        <w:trPr>
          <w:trHeight w:val="350"/>
        </w:trPr>
        <w:tc>
          <w:tcPr>
            <w:tcW w:w="9895" w:type="dxa"/>
          </w:tcPr>
          <w:p w14:paraId="006CEF73" w14:textId="3D7412A4" w:rsidR="001B010E" w:rsidRPr="004244DE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14:paraId="76296ECA" w14:textId="7FC6425F" w:rsidR="001B010E" w:rsidRPr="000622BD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0E316D" w:rsidRPr="000622BD" w14:paraId="254B1F6B" w14:textId="77777777" w:rsidTr="002C3C77">
        <w:tc>
          <w:tcPr>
            <w:tcW w:w="9895" w:type="dxa"/>
            <w:shd w:val="clear" w:color="auto" w:fill="DEEAF6" w:themeFill="accent5" w:themeFillTint="33"/>
          </w:tcPr>
          <w:p w14:paraId="4ABF93F8" w14:textId="77777777" w:rsidR="000E316D" w:rsidRPr="000622BD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0D7DBE" w14:textId="77777777" w:rsidR="000E316D" w:rsidRPr="004244DE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Буџет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оправданост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трошкова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становишта</w:t>
            </w:r>
            <w:proofErr w:type="spellEnd"/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14:paraId="2FBB29B8" w14:textId="4004F14A" w:rsidR="00FC7EFE" w:rsidRPr="000622BD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0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- није оправдан</w:t>
            </w:r>
          </w:p>
          <w:p w14:paraId="3A3C4FA9" w14:textId="2851E742" w:rsidR="00FC7EFE" w:rsidRPr="000622BD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1B13EE"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7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делимично је оправдан</w:t>
            </w:r>
          </w:p>
          <w:p w14:paraId="36C8DBBD" w14:textId="3FB2B96F" w:rsidR="00FC7EFE" w:rsidRPr="000622BD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="00FC7EF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углавном је оправдан</w:t>
            </w:r>
          </w:p>
          <w:p w14:paraId="7689F363" w14:textId="22E1E151" w:rsidR="000E316D" w:rsidRPr="000622BD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20</w:t>
            </w:r>
            <w:r w:rsidR="00FC7EFE"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- у потпуности је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оправдан</w:t>
            </w:r>
          </w:p>
        </w:tc>
      </w:tr>
      <w:tr w:rsidR="000E316D" w:rsidRPr="000622BD" w14:paraId="4FC8948E" w14:textId="77777777" w:rsidTr="00CE71CF">
        <w:tc>
          <w:tcPr>
            <w:tcW w:w="9895" w:type="dxa"/>
          </w:tcPr>
          <w:p w14:paraId="5168838B" w14:textId="77777777" w:rsidR="000E316D" w:rsidRPr="007E17D8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прецизности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разрађености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буџета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који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показује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усклађеност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предвиђеног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пројектним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активностима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18B3993" w14:textId="77777777" w:rsidR="000E316D" w:rsidRPr="007E17D8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економске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оправданости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предлога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буџета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односу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циљ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пројектне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7095F0F" w14:textId="02C0D996" w:rsidR="000E316D" w:rsidRPr="004244DE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усклађености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предложених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тржишним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трошковима</w:t>
            </w:r>
            <w:proofErr w:type="spellEnd"/>
            <w:r w:rsidRPr="007E17D8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4509" w:type="dxa"/>
          </w:tcPr>
          <w:p w14:paraId="45ECA9EF" w14:textId="77777777" w:rsidR="000E316D" w:rsidRPr="000622BD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  <w:p w14:paraId="1D909C4A" w14:textId="6AC7F09D" w:rsidR="001B13EE" w:rsidRPr="000622BD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Оцена:</w:t>
            </w:r>
          </w:p>
        </w:tc>
      </w:tr>
      <w:tr w:rsidR="00FD09BC" w:rsidRPr="000622BD" w14:paraId="7B6BAC77" w14:textId="77777777" w:rsidTr="00CE71CF">
        <w:tc>
          <w:tcPr>
            <w:tcW w:w="9895" w:type="dxa"/>
          </w:tcPr>
          <w:p w14:paraId="233FBC9F" w14:textId="77777777" w:rsidR="00FD09BC" w:rsidRDefault="00FD09BC" w:rsidP="00FD09BC">
            <w:pPr>
              <w:pStyle w:val="ListParagraph"/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  <w:p w14:paraId="47EFFB36" w14:textId="38655A23" w:rsidR="00FD09BC" w:rsidRPr="00FD09BC" w:rsidRDefault="00FD09BC" w:rsidP="00FD09BC">
            <w:pPr>
              <w:pStyle w:val="ListParagraph"/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FD09B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БРОЈ БОДОВА</w:t>
            </w:r>
          </w:p>
        </w:tc>
        <w:tc>
          <w:tcPr>
            <w:tcW w:w="4509" w:type="dxa"/>
          </w:tcPr>
          <w:p w14:paraId="5C852866" w14:textId="77777777" w:rsidR="00FD09BC" w:rsidRPr="000622BD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0CFA195B" w14:textId="77777777" w:rsidR="00FF7374" w:rsidRDefault="00FF7374" w:rsidP="00DC3D60">
      <w:pPr>
        <w:ind w:firstLine="720"/>
        <w:rPr>
          <w:lang w:val="sr-Latn-RS"/>
        </w:rPr>
      </w:pPr>
    </w:p>
    <w:p w14:paraId="5A939E0F" w14:textId="77777777" w:rsidR="00FF7374" w:rsidRDefault="00FF7374" w:rsidP="00DC3D60">
      <w:pPr>
        <w:ind w:firstLine="720"/>
        <w:rPr>
          <w:lang w:val="sr-Latn-RS"/>
        </w:rPr>
      </w:pPr>
    </w:p>
    <w:p w14:paraId="294A0662" w14:textId="77777777" w:rsidR="00FF7374" w:rsidRPr="00F91E42" w:rsidRDefault="00FF7374" w:rsidP="00DC3D60">
      <w:pPr>
        <w:ind w:firstLine="720"/>
        <w:rPr>
          <w:lang w:val="sr-Latn-RS"/>
        </w:rPr>
      </w:pPr>
    </w:p>
    <w:sectPr w:rsidR="00FF7374" w:rsidRPr="00F91E42" w:rsidSect="008A7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CC2E8" w14:textId="77777777" w:rsidR="00E50623" w:rsidRDefault="00E50623" w:rsidP="003738A9">
      <w:pPr>
        <w:spacing w:after="0" w:line="240" w:lineRule="auto"/>
      </w:pPr>
      <w:r>
        <w:separator/>
      </w:r>
    </w:p>
  </w:endnote>
  <w:endnote w:type="continuationSeparator" w:id="0">
    <w:p w14:paraId="25661E70" w14:textId="77777777" w:rsidR="00E50623" w:rsidRDefault="00E50623" w:rsidP="003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6078" w14:textId="77777777" w:rsidR="00E47D2D" w:rsidRDefault="00E47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BAA2" w14:textId="77777777" w:rsidR="00E47D2D" w:rsidRDefault="00E47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62FE" w14:textId="77777777" w:rsidR="00E47D2D" w:rsidRDefault="00E47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A3F3" w14:textId="77777777" w:rsidR="00E50623" w:rsidRDefault="00E50623" w:rsidP="003738A9">
      <w:pPr>
        <w:spacing w:after="0" w:line="240" w:lineRule="auto"/>
      </w:pPr>
      <w:r>
        <w:separator/>
      </w:r>
    </w:p>
  </w:footnote>
  <w:footnote w:type="continuationSeparator" w:id="0">
    <w:p w14:paraId="306BC891" w14:textId="77777777" w:rsidR="00E50623" w:rsidRDefault="00E50623" w:rsidP="0037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DFC08" w14:textId="77777777" w:rsidR="00E47D2D" w:rsidRDefault="00E47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5010" w14:textId="76B5B2E1" w:rsidR="00E47D2D" w:rsidRDefault="00E47D2D" w:rsidP="00E47D2D">
    <w:pPr>
      <w:pStyle w:val="Header"/>
      <w:jc w:val="right"/>
    </w:pPr>
    <w:r>
      <w:rPr>
        <w:lang w:val="sr-Cyrl-RS"/>
      </w:rPr>
      <w:t>Образац 5</w:t>
    </w:r>
  </w:p>
  <w:p w14:paraId="03B50FD2" w14:textId="77777777" w:rsidR="003738A9" w:rsidRDefault="003738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53C3" w14:textId="77777777" w:rsidR="00E47D2D" w:rsidRDefault="00E47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216B1"/>
    <w:multiLevelType w:val="hybridMultilevel"/>
    <w:tmpl w:val="2628404C"/>
    <w:lvl w:ilvl="0" w:tplc="7E42450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0" w15:restartNumberingAfterBreak="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17"/>
  </w:num>
  <w:num w:numId="5">
    <w:abstractNumId w:val="7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15"/>
  </w:num>
  <w:num w:numId="11">
    <w:abstractNumId w:val="13"/>
  </w:num>
  <w:num w:numId="12">
    <w:abstractNumId w:val="23"/>
  </w:num>
  <w:num w:numId="13">
    <w:abstractNumId w:val="5"/>
  </w:num>
  <w:num w:numId="14">
    <w:abstractNumId w:val="6"/>
  </w:num>
  <w:num w:numId="15">
    <w:abstractNumId w:val="18"/>
  </w:num>
  <w:num w:numId="16">
    <w:abstractNumId w:val="20"/>
  </w:num>
  <w:num w:numId="17">
    <w:abstractNumId w:val="4"/>
  </w:num>
  <w:num w:numId="18">
    <w:abstractNumId w:val="9"/>
  </w:num>
  <w:num w:numId="19">
    <w:abstractNumId w:val="16"/>
  </w:num>
  <w:num w:numId="20">
    <w:abstractNumId w:val="19"/>
  </w:num>
  <w:num w:numId="21">
    <w:abstractNumId w:val="3"/>
  </w:num>
  <w:num w:numId="22">
    <w:abstractNumId w:val="11"/>
  </w:num>
  <w:num w:numId="23">
    <w:abstractNumId w:val="1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74"/>
    <w:rsid w:val="000466C8"/>
    <w:rsid w:val="000622BD"/>
    <w:rsid w:val="00062741"/>
    <w:rsid w:val="00064DFB"/>
    <w:rsid w:val="00083E3D"/>
    <w:rsid w:val="000A6234"/>
    <w:rsid w:val="000A7254"/>
    <w:rsid w:val="000B01EB"/>
    <w:rsid w:val="000D1C05"/>
    <w:rsid w:val="000E316D"/>
    <w:rsid w:val="000F0375"/>
    <w:rsid w:val="00151AEC"/>
    <w:rsid w:val="00153E93"/>
    <w:rsid w:val="00166D0C"/>
    <w:rsid w:val="001722C9"/>
    <w:rsid w:val="00193BA5"/>
    <w:rsid w:val="001B010E"/>
    <w:rsid w:val="001B13EE"/>
    <w:rsid w:val="001D40F0"/>
    <w:rsid w:val="001D4263"/>
    <w:rsid w:val="001E081B"/>
    <w:rsid w:val="002155D6"/>
    <w:rsid w:val="00220F53"/>
    <w:rsid w:val="00230456"/>
    <w:rsid w:val="002315EC"/>
    <w:rsid w:val="002B7280"/>
    <w:rsid w:val="002C3C77"/>
    <w:rsid w:val="002C7F4D"/>
    <w:rsid w:val="00314766"/>
    <w:rsid w:val="0032085C"/>
    <w:rsid w:val="00331141"/>
    <w:rsid w:val="00351CAB"/>
    <w:rsid w:val="00355E2F"/>
    <w:rsid w:val="003738A9"/>
    <w:rsid w:val="004244DE"/>
    <w:rsid w:val="004315B3"/>
    <w:rsid w:val="00437187"/>
    <w:rsid w:val="00450EF7"/>
    <w:rsid w:val="004C3B79"/>
    <w:rsid w:val="005146E3"/>
    <w:rsid w:val="00522CF8"/>
    <w:rsid w:val="00534E36"/>
    <w:rsid w:val="00543115"/>
    <w:rsid w:val="00582952"/>
    <w:rsid w:val="005D2E50"/>
    <w:rsid w:val="005E2902"/>
    <w:rsid w:val="005F70F4"/>
    <w:rsid w:val="00602113"/>
    <w:rsid w:val="00626E97"/>
    <w:rsid w:val="006621A3"/>
    <w:rsid w:val="006B3702"/>
    <w:rsid w:val="006F4C13"/>
    <w:rsid w:val="00701C56"/>
    <w:rsid w:val="00720663"/>
    <w:rsid w:val="007311C7"/>
    <w:rsid w:val="00766795"/>
    <w:rsid w:val="00770C83"/>
    <w:rsid w:val="007E17D8"/>
    <w:rsid w:val="00850619"/>
    <w:rsid w:val="0086581C"/>
    <w:rsid w:val="0088185C"/>
    <w:rsid w:val="008A7736"/>
    <w:rsid w:val="008C79C3"/>
    <w:rsid w:val="008E2DA0"/>
    <w:rsid w:val="008F75CE"/>
    <w:rsid w:val="00915173"/>
    <w:rsid w:val="00970338"/>
    <w:rsid w:val="0098492E"/>
    <w:rsid w:val="009D7AED"/>
    <w:rsid w:val="009E16B3"/>
    <w:rsid w:val="00A77B6E"/>
    <w:rsid w:val="00A93BCD"/>
    <w:rsid w:val="00AB726B"/>
    <w:rsid w:val="00AE1823"/>
    <w:rsid w:val="00AE1B74"/>
    <w:rsid w:val="00AF722A"/>
    <w:rsid w:val="00B53750"/>
    <w:rsid w:val="00B7307C"/>
    <w:rsid w:val="00BC70D8"/>
    <w:rsid w:val="00BF6069"/>
    <w:rsid w:val="00C030CC"/>
    <w:rsid w:val="00C20317"/>
    <w:rsid w:val="00C43C6A"/>
    <w:rsid w:val="00C56FB2"/>
    <w:rsid w:val="00C64832"/>
    <w:rsid w:val="00C91ED4"/>
    <w:rsid w:val="00CD3310"/>
    <w:rsid w:val="00D007D6"/>
    <w:rsid w:val="00D40BA7"/>
    <w:rsid w:val="00D604ED"/>
    <w:rsid w:val="00DC3D60"/>
    <w:rsid w:val="00DE188E"/>
    <w:rsid w:val="00E04995"/>
    <w:rsid w:val="00E47D2D"/>
    <w:rsid w:val="00E50623"/>
    <w:rsid w:val="00EA052F"/>
    <w:rsid w:val="00ED6ABD"/>
    <w:rsid w:val="00F91E42"/>
    <w:rsid w:val="00FC3826"/>
    <w:rsid w:val="00FC7EFE"/>
    <w:rsid w:val="00FD09BC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0336C"/>
  <w15:chartTrackingRefBased/>
  <w15:docId w15:val="{1D9BC956-9264-4327-83E0-67F3EEFF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A9"/>
  </w:style>
  <w:style w:type="paragraph" w:styleId="Footer">
    <w:name w:val="footer"/>
    <w:basedOn w:val="Normal"/>
    <w:link w:val="FooterChar"/>
    <w:uiPriority w:val="99"/>
    <w:unhideWhenUsed/>
    <w:rsid w:val="0037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Rajsic</dc:creator>
  <cp:keywords/>
  <dc:description/>
  <cp:lastModifiedBy>Jadranka_Sekretar</cp:lastModifiedBy>
  <cp:revision>2</cp:revision>
  <cp:lastPrinted>2023-12-11T10:25:00Z</cp:lastPrinted>
  <dcterms:created xsi:type="dcterms:W3CDTF">2025-02-26T07:57:00Z</dcterms:created>
  <dcterms:modified xsi:type="dcterms:W3CDTF">2025-02-26T07:57:00Z</dcterms:modified>
</cp:coreProperties>
</file>